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3D" w:rsidRDefault="00E96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</w:t>
      </w:r>
      <w:r w:rsidR="006519D3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9D1BA17" wp14:editId="0DDCE22B">
            <wp:extent cx="588645" cy="572770"/>
            <wp:effectExtent l="0" t="0" r="190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6A" w:rsidRDefault="0012716A" w:rsidP="0012716A">
      <w:pPr>
        <w:jc w:val="center"/>
        <w:rPr>
          <w:sz w:val="10"/>
        </w:rPr>
      </w:pPr>
    </w:p>
    <w:p w:rsidR="00E96473" w:rsidRDefault="0012716A" w:rsidP="006519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73">
        <w:rPr>
          <w:rFonts w:ascii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12716A" w:rsidRPr="00E96473" w:rsidRDefault="0012716A" w:rsidP="006519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7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2716A" w:rsidRPr="00E96473" w:rsidRDefault="0012716A" w:rsidP="006519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73">
        <w:rPr>
          <w:rFonts w:ascii="Times New Roman" w:hAnsi="Times New Roman" w:cs="Times New Roman"/>
          <w:b/>
          <w:sz w:val="28"/>
          <w:szCs w:val="28"/>
        </w:rPr>
        <w:t>«СЕЛО ЧУНИ»</w:t>
      </w:r>
    </w:p>
    <w:p w:rsidR="0012716A" w:rsidRPr="00E96473" w:rsidRDefault="0012716A" w:rsidP="006519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73">
        <w:rPr>
          <w:rFonts w:ascii="Times New Roman" w:hAnsi="Times New Roman" w:cs="Times New Roman"/>
          <w:b/>
          <w:sz w:val="28"/>
          <w:szCs w:val="28"/>
        </w:rPr>
        <w:t>ЛЕВАШИНСКОГО РАЙОНА</w:t>
      </w:r>
    </w:p>
    <w:p w:rsidR="0012716A" w:rsidRPr="00E96473" w:rsidRDefault="0012716A" w:rsidP="006519D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73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СЕЛЬСКОГО ПОСЕЛЕНИЯ</w:t>
      </w:r>
    </w:p>
    <w:p w:rsidR="0012716A" w:rsidRPr="006519D3" w:rsidRDefault="0012716A" w:rsidP="0012716A">
      <w:pPr>
        <w:shd w:val="clear" w:color="auto" w:fill="FFFFFF"/>
        <w:tabs>
          <w:tab w:val="left" w:pos="7162"/>
        </w:tabs>
        <w:spacing w:before="19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19D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Индекс: 368313 Республика Дагестан </w:t>
      </w:r>
      <w:proofErr w:type="spellStart"/>
      <w:r w:rsidRPr="006519D3">
        <w:rPr>
          <w:rFonts w:ascii="Times New Roman" w:hAnsi="Times New Roman" w:cs="Times New Roman"/>
          <w:b/>
          <w:color w:val="000000"/>
          <w:sz w:val="20"/>
          <w:szCs w:val="20"/>
        </w:rPr>
        <w:t>Левашинский</w:t>
      </w:r>
      <w:proofErr w:type="spellEnd"/>
      <w:r w:rsidRPr="006519D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  с. Чуни, 8928 678 55 57, </w:t>
      </w:r>
      <w:proofErr w:type="spellStart"/>
      <w:r w:rsidRPr="006519D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mo</w:t>
      </w:r>
      <w:proofErr w:type="spellEnd"/>
      <w:r w:rsidRPr="006519D3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proofErr w:type="spellStart"/>
      <w:r w:rsidRPr="006519D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chooni</w:t>
      </w:r>
      <w:proofErr w:type="spellEnd"/>
      <w:r w:rsidRPr="006519D3">
        <w:rPr>
          <w:rFonts w:ascii="Times New Roman" w:hAnsi="Times New Roman" w:cs="Times New Roman"/>
          <w:b/>
          <w:color w:val="000000"/>
          <w:sz w:val="20"/>
          <w:szCs w:val="20"/>
        </w:rPr>
        <w:t>@</w:t>
      </w:r>
      <w:r w:rsidRPr="006519D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6519D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proofErr w:type="spellStart"/>
      <w:r w:rsidRPr="006519D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6519D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2716A" w:rsidRPr="00E96473" w:rsidRDefault="0012716A" w:rsidP="0012716A">
      <w:pPr>
        <w:tabs>
          <w:tab w:val="left" w:pos="7410"/>
        </w:tabs>
        <w:jc w:val="right"/>
        <w:rPr>
          <w:rFonts w:ascii="Times New Roman" w:hAnsi="Times New Roman" w:cs="Times New Roman"/>
          <w:sz w:val="28"/>
        </w:rPr>
      </w:pPr>
      <w:r w:rsidRPr="00E9647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024549" wp14:editId="3928F0A4">
                <wp:simplePos x="0" y="0"/>
                <wp:positionH relativeFrom="column">
                  <wp:posOffset>-106680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2716A" w:rsidRPr="00E96473" w:rsidRDefault="006519D3" w:rsidP="00651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2716A" w:rsidRPr="00E9647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96473" w:rsidRPr="00E96473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12716A" w:rsidRPr="00E96473">
        <w:rPr>
          <w:rFonts w:ascii="Times New Roman" w:hAnsi="Times New Roman" w:cs="Times New Roman"/>
          <w:b/>
          <w:sz w:val="28"/>
          <w:szCs w:val="28"/>
        </w:rPr>
        <w:t>2</w:t>
      </w:r>
    </w:p>
    <w:p w:rsidR="0012716A" w:rsidRPr="006519D3" w:rsidRDefault="0012716A" w:rsidP="0012716A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</w:pPr>
      <w:r w:rsidRPr="00E9647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 </w:t>
      </w:r>
      <w:r w:rsidR="00E96473" w:rsidRPr="00E9647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28</w:t>
      </w:r>
      <w:r w:rsidRPr="00E9647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.</w:t>
      </w:r>
      <w:r w:rsidR="00E96473" w:rsidRPr="00E9647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1</w:t>
      </w:r>
      <w:r w:rsidRPr="00E96473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1.2018г. </w:t>
      </w:r>
      <w:r w:rsidRPr="00E964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с. Чуни </w:t>
      </w:r>
    </w:p>
    <w:p w:rsidR="0012716A" w:rsidRPr="00E96473" w:rsidRDefault="0012716A" w:rsidP="00127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935" w:rsidRPr="00E96473" w:rsidRDefault="006519D3" w:rsidP="00EF58DC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1D2935" w:rsidRPr="00E9647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 установлении на территории муниципального образования сельского поселения </w:t>
      </w:r>
      <w:r w:rsidR="00EF58DC" w:rsidRPr="00E9647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МО </w:t>
      </w:r>
      <w:r w:rsidR="001D2935" w:rsidRPr="00E96473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EF58DC" w:rsidRPr="00E96473">
        <w:rPr>
          <w:rFonts w:ascii="Times New Roman" w:hAnsi="Times New Roman" w:cs="Times New Roman"/>
          <w:b/>
          <w:sz w:val="28"/>
          <w:szCs w:val="28"/>
          <w:lang w:bidi="ru-RU"/>
        </w:rPr>
        <w:t>село Чуни</w:t>
      </w:r>
      <w:r w:rsidR="001D2935" w:rsidRPr="00E96473">
        <w:rPr>
          <w:rFonts w:ascii="Times New Roman" w:hAnsi="Times New Roman" w:cs="Times New Roman"/>
          <w:b/>
          <w:sz w:val="28"/>
          <w:szCs w:val="28"/>
          <w:lang w:bidi="ru-RU"/>
        </w:rPr>
        <w:t>» налога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606B3D" w:rsidRPr="006519D3" w:rsidRDefault="00606B3D" w:rsidP="006519D3">
      <w:pPr>
        <w:widowControl w:val="0"/>
        <w:tabs>
          <w:tab w:val="left" w:pos="709"/>
        </w:tabs>
        <w:spacing w:after="0" w:line="32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главой 32 Налогового кодекса Российской Федерации, Федеральным законом от 6.10.2003 г. №131-ФЗ «Об общих принципах организации местного самоуправления в Российской Федерации», Законом Республики Дагестан от </w:t>
      </w:r>
      <w:r w:rsidR="00923453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06.11.2018 г.  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923453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64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</w:t>
      </w:r>
      <w:proofErr w:type="gramEnd"/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сельского поселения «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село Чуни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Собрание депутатов </w:t>
      </w:r>
      <w:r w:rsidRPr="00E964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сельского поселения «</w:t>
      </w:r>
      <w:r w:rsidR="006519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село Чуни</w:t>
      </w:r>
      <w:r w:rsidRPr="00E964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6519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64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реш</w:t>
      </w:r>
      <w:r w:rsidR="00923453" w:rsidRPr="00E9647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ает</w:t>
      </w:r>
      <w:r w:rsidRPr="00E964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06B3D" w:rsidRPr="00E96473" w:rsidRDefault="00606B3D" w:rsidP="00606B3D">
      <w:pPr>
        <w:rPr>
          <w:rFonts w:ascii="Times New Roman" w:hAnsi="Times New Roman" w:cs="Times New Roman"/>
          <w:sz w:val="28"/>
          <w:szCs w:val="28"/>
        </w:rPr>
      </w:pPr>
    </w:p>
    <w:p w:rsidR="00443496" w:rsidRPr="00E96473" w:rsidRDefault="00606B3D" w:rsidP="00443496">
      <w:pPr>
        <w:pStyle w:val="a3"/>
        <w:widowControl w:val="0"/>
        <w:numPr>
          <w:ilvl w:val="0"/>
          <w:numId w:val="2"/>
        </w:numPr>
        <w:tabs>
          <w:tab w:val="left" w:pos="108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и ввести в действие с 1 января 2019 года на территории</w:t>
      </w:r>
      <w:r w:rsidR="00443496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«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село Чуни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налог на имущество</w:t>
      </w:r>
      <w:r w:rsidR="00443496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физических лиц </w:t>
      </w:r>
      <w:r w:rsidRPr="00E96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(далее - налог)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43496" w:rsidRPr="00E96473" w:rsidRDefault="00606B3D" w:rsidP="00443496">
      <w:pPr>
        <w:pStyle w:val="a3"/>
        <w:widowControl w:val="0"/>
        <w:numPr>
          <w:ilvl w:val="0"/>
          <w:numId w:val="2"/>
        </w:numPr>
        <w:tabs>
          <w:tab w:val="left" w:pos="108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6B3D" w:rsidRPr="00E96473" w:rsidRDefault="00606B3D" w:rsidP="00443496">
      <w:pPr>
        <w:pStyle w:val="a3"/>
        <w:widowControl w:val="0"/>
        <w:numPr>
          <w:ilvl w:val="0"/>
          <w:numId w:val="2"/>
        </w:numPr>
        <w:tabs>
          <w:tab w:val="left" w:pos="108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налоговые ставки в процентах от кадастровой стоимости объектов налогообложения в следующих размерах:</w:t>
      </w:r>
    </w:p>
    <w:p w:rsidR="00606B3D" w:rsidRPr="00E96473" w:rsidRDefault="00606B3D" w:rsidP="00443496">
      <w:pPr>
        <w:pStyle w:val="a3"/>
        <w:widowControl w:val="0"/>
        <w:numPr>
          <w:ilvl w:val="1"/>
          <w:numId w:val="2"/>
        </w:numPr>
        <w:tabs>
          <w:tab w:val="left" w:pos="144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0,1 процента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отношении:</w:t>
      </w:r>
    </w:p>
    <w:p w:rsidR="00606B3D" w:rsidRPr="00E96473" w:rsidRDefault="00606B3D" w:rsidP="00443496">
      <w:pPr>
        <w:pStyle w:val="a3"/>
        <w:widowControl w:val="0"/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жилых домов, части жилых домов, квартир, части квартир, комнат;</w:t>
      </w:r>
    </w:p>
    <w:p w:rsidR="00606B3D" w:rsidRPr="00E96473" w:rsidRDefault="00606B3D" w:rsidP="00443496">
      <w:pPr>
        <w:pStyle w:val="a3"/>
        <w:widowControl w:val="0"/>
        <w:numPr>
          <w:ilvl w:val="0"/>
          <w:numId w:val="3"/>
        </w:num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6B3D" w:rsidRPr="00E96473" w:rsidRDefault="00606B3D" w:rsidP="00443496">
      <w:pPr>
        <w:pStyle w:val="a3"/>
        <w:widowControl w:val="0"/>
        <w:numPr>
          <w:ilvl w:val="0"/>
          <w:numId w:val="3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единых недвижимых комплексов, в состав которых входит хотя бы один жилой дом;</w:t>
      </w:r>
    </w:p>
    <w:p w:rsidR="00606B3D" w:rsidRPr="00E96473" w:rsidRDefault="00606B3D" w:rsidP="00443496">
      <w:pPr>
        <w:pStyle w:val="a3"/>
        <w:widowControl w:val="0"/>
        <w:numPr>
          <w:ilvl w:val="0"/>
          <w:numId w:val="3"/>
        </w:numPr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гаражей и </w:t>
      </w:r>
      <w:proofErr w:type="spellStart"/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машино</w:t>
      </w:r>
      <w:proofErr w:type="spellEnd"/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-мест, в том числе расположенных в объектах налогообложения, указанных в подпункте 2 пункта 2 статьи 406 Налогового кодекса РФ;</w:t>
      </w:r>
    </w:p>
    <w:p w:rsidR="00606B3D" w:rsidRPr="00E96473" w:rsidRDefault="00606B3D" w:rsidP="00443496">
      <w:pPr>
        <w:pStyle w:val="a3"/>
        <w:widowControl w:val="0"/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6B3D" w:rsidRPr="00E96473" w:rsidRDefault="002D28C3" w:rsidP="00443496">
      <w:pPr>
        <w:pStyle w:val="a3"/>
        <w:widowControl w:val="0"/>
        <w:numPr>
          <w:ilvl w:val="1"/>
          <w:numId w:val="2"/>
        </w:numPr>
        <w:tabs>
          <w:tab w:val="left" w:pos="133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1,3</w:t>
      </w:r>
      <w:r w:rsidR="00606B3D" w:rsidRPr="00E96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процента</w:t>
      </w:r>
      <w:r w:rsidR="00606B3D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отношении:</w:t>
      </w:r>
    </w:p>
    <w:p w:rsidR="00606B3D" w:rsidRPr="00E96473" w:rsidRDefault="00606B3D" w:rsidP="00443496">
      <w:pPr>
        <w:pStyle w:val="a3"/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3782 Налогового кодекса Российской Федерации;</w:t>
      </w:r>
    </w:p>
    <w:p w:rsidR="00606B3D" w:rsidRPr="00E96473" w:rsidRDefault="00606B3D" w:rsidP="00443496">
      <w:pPr>
        <w:pStyle w:val="a3"/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объектов налогообложения, кадастровая стоимость каждого из которых превышает 300 миллионов рублей;</w:t>
      </w:r>
    </w:p>
    <w:p w:rsidR="00606B3D" w:rsidRPr="00E96473" w:rsidRDefault="00606B3D" w:rsidP="00443496">
      <w:pPr>
        <w:pStyle w:val="a3"/>
        <w:widowControl w:val="0"/>
        <w:numPr>
          <w:ilvl w:val="1"/>
          <w:numId w:val="2"/>
        </w:numPr>
        <w:tabs>
          <w:tab w:val="left" w:pos="133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0,5 процента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прочих объектов налогообложения.</w:t>
      </w:r>
    </w:p>
    <w:p w:rsidR="00B27AAC" w:rsidRPr="00E96473" w:rsidRDefault="00606B3D" w:rsidP="00B27AAC">
      <w:pPr>
        <w:pStyle w:val="a3"/>
        <w:widowControl w:val="0"/>
        <w:numPr>
          <w:ilvl w:val="0"/>
          <w:numId w:val="2"/>
        </w:numPr>
        <w:tabs>
          <w:tab w:val="left" w:pos="109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налоговые льготы, основания и порядок их применения в соответствии со статьей 407 Налогового кодекса Российской Федерации.</w:t>
      </w:r>
    </w:p>
    <w:p w:rsidR="00606B3D" w:rsidRPr="00E96473" w:rsidRDefault="00B27AAC" w:rsidP="00606B3D">
      <w:pPr>
        <w:pStyle w:val="a3"/>
        <w:widowControl w:val="0"/>
        <w:numPr>
          <w:ilvl w:val="0"/>
          <w:numId w:val="2"/>
        </w:numPr>
        <w:tabs>
          <w:tab w:val="left" w:pos="1093"/>
          <w:tab w:val="left" w:leader="underscore" w:pos="488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ризнать утратившим силу постановление </w:t>
      </w:r>
      <w:r w:rsidR="00606B3D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Собрания</w:t>
      </w:r>
      <w:r w:rsidR="00606B3D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 от 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 декабря </w:t>
      </w:r>
      <w:r w:rsidR="00606B3D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</w:t>
      </w:r>
      <w:r w:rsidR="00606B3D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17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6B3D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установлении налога на имущество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606B3D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физических лиц на территории муниципального образования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село Чуни</w:t>
      </w:r>
      <w:r w:rsidR="00606B3D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443496" w:rsidRPr="00E96473" w:rsidRDefault="00606B3D" w:rsidP="00443496">
      <w:pPr>
        <w:pStyle w:val="a3"/>
        <w:widowControl w:val="0"/>
        <w:numPr>
          <w:ilvl w:val="0"/>
          <w:numId w:val="2"/>
        </w:numPr>
        <w:tabs>
          <w:tab w:val="left" w:pos="108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606B3D" w:rsidRPr="00E96473" w:rsidRDefault="00606B3D" w:rsidP="00606B3D">
      <w:pPr>
        <w:pStyle w:val="a3"/>
        <w:widowControl w:val="0"/>
        <w:numPr>
          <w:ilvl w:val="0"/>
          <w:numId w:val="2"/>
        </w:numPr>
        <w:tabs>
          <w:tab w:val="left" w:pos="1089"/>
          <w:tab w:val="left" w:leader="underscore" w:pos="742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решение на официальном сайте</w:t>
      </w:r>
      <w:r w:rsidR="00443496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сельского поселения «</w:t>
      </w:r>
      <w:r w:rsidR="006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село Чуни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и </w:t>
      </w:r>
      <w:r w:rsidR="00923453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обнародовать его в местах массового скопления людей с</w:t>
      </w:r>
      <w:r w:rsidR="00CD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03.12.2018 г.</w:t>
      </w:r>
      <w:r w:rsidR="00923453"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путем его вывешивания на стендах, доске объявления.</w:t>
      </w:r>
      <w:r w:rsidRPr="00E9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06B3D" w:rsidRPr="00E96473" w:rsidRDefault="00606B3D" w:rsidP="00606B3D">
      <w:pPr>
        <w:widowControl w:val="0"/>
        <w:tabs>
          <w:tab w:val="left" w:leader="underscore" w:pos="742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6B3D" w:rsidRPr="00E96473" w:rsidRDefault="00606B3D" w:rsidP="00606B3D">
      <w:pPr>
        <w:widowControl w:val="0"/>
        <w:tabs>
          <w:tab w:val="left" w:leader="underscore" w:pos="7423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D60B1" w:rsidRDefault="00CD60B1" w:rsidP="00606B3D">
      <w:pPr>
        <w:widowControl w:val="0"/>
        <w:tabs>
          <w:tab w:val="left" w:leader="underscore" w:pos="7423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D60B1" w:rsidRDefault="00CD60B1" w:rsidP="00606B3D">
      <w:pPr>
        <w:widowControl w:val="0"/>
        <w:tabs>
          <w:tab w:val="left" w:leader="underscore" w:pos="7423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D60B1" w:rsidRDefault="00CD60B1" w:rsidP="00606B3D">
      <w:pPr>
        <w:widowControl w:val="0"/>
        <w:tabs>
          <w:tab w:val="left" w:leader="underscore" w:pos="7423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D60B1" w:rsidRDefault="00CD60B1" w:rsidP="00606B3D">
      <w:pPr>
        <w:widowControl w:val="0"/>
        <w:tabs>
          <w:tab w:val="left" w:leader="underscore" w:pos="7423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Председатель</w:t>
      </w:r>
    </w:p>
    <w:p w:rsidR="00606B3D" w:rsidRPr="00E96473" w:rsidRDefault="00CD60B1" w:rsidP="00606B3D">
      <w:pPr>
        <w:widowControl w:val="0"/>
        <w:tabs>
          <w:tab w:val="left" w:leader="underscore" w:pos="7423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Собрания депутатов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Т.М.Хайбулаев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</w:t>
      </w:r>
    </w:p>
    <w:sectPr w:rsidR="00606B3D" w:rsidRPr="00E96473" w:rsidSect="005E25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371"/>
    <w:multiLevelType w:val="multilevel"/>
    <w:tmpl w:val="224A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A52E34"/>
    <w:multiLevelType w:val="multilevel"/>
    <w:tmpl w:val="71BE1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20A63"/>
    <w:multiLevelType w:val="hybridMultilevel"/>
    <w:tmpl w:val="70E2FBE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499F"/>
    <w:multiLevelType w:val="hybridMultilevel"/>
    <w:tmpl w:val="3314FADE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35"/>
    <w:rsid w:val="0012716A"/>
    <w:rsid w:val="001D2935"/>
    <w:rsid w:val="001E4807"/>
    <w:rsid w:val="002D28C3"/>
    <w:rsid w:val="00443496"/>
    <w:rsid w:val="005E2592"/>
    <w:rsid w:val="00606B3D"/>
    <w:rsid w:val="006519D3"/>
    <w:rsid w:val="00923453"/>
    <w:rsid w:val="00B27AAC"/>
    <w:rsid w:val="00C3245F"/>
    <w:rsid w:val="00CD60B1"/>
    <w:rsid w:val="00E96473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gg</cp:lastModifiedBy>
  <cp:revision>5</cp:revision>
  <cp:lastPrinted>2018-12-07T07:48:00Z</cp:lastPrinted>
  <dcterms:created xsi:type="dcterms:W3CDTF">2018-11-21T08:16:00Z</dcterms:created>
  <dcterms:modified xsi:type="dcterms:W3CDTF">2018-12-07T07:51:00Z</dcterms:modified>
</cp:coreProperties>
</file>